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520A" w:rsidRPr="008F1269" w:rsidRDefault="00C6520A" w:rsidP="00C6520A">
      <w:pPr>
        <w:pStyle w:val="Heading1"/>
        <w:adjustRightInd w:val="0"/>
        <w:snapToGrid w:val="0"/>
        <w:spacing w:before="60" w:after="0" w:line="312" w:lineRule="auto"/>
      </w:pPr>
      <w:bookmarkStart w:id="0" w:name="_Toc31898391"/>
      <w:bookmarkStart w:id="1" w:name="_Toc140398917"/>
      <w:bookmarkStart w:id="2" w:name="_Toc141360712"/>
      <w:bookmarkStart w:id="3" w:name="_Toc142836862"/>
      <w:bookmarkStart w:id="4" w:name="_Toc142987639"/>
      <w:bookmarkStart w:id="5" w:name="_Toc143067325"/>
      <w:bookmarkStart w:id="6" w:name="_Toc153333279"/>
      <w:r w:rsidRPr="008F1269">
        <w:t>30</w:t>
      </w:r>
      <w:r>
        <w:rPr>
          <w:lang w:val="vi-VN"/>
        </w:rPr>
        <w:t>1</w:t>
      </w:r>
      <w:r w:rsidRPr="008F1269">
        <w:t>. XUNG ĐỘT GIỮA BÌNH DÂN VÀ QUÝ TỘC Ở LA MÃ (494</w:t>
      </w:r>
      <w:r>
        <w:t xml:space="preserve"> – </w:t>
      </w:r>
      <w:r w:rsidRPr="008F1269">
        <w:t>287 TCN)</w:t>
      </w:r>
      <w:bookmarkEnd w:id="0"/>
      <w:bookmarkEnd w:id="1"/>
      <w:bookmarkEnd w:id="2"/>
      <w:bookmarkEnd w:id="3"/>
      <w:bookmarkEnd w:id="4"/>
      <w:bookmarkEnd w:id="5"/>
      <w:bookmarkEnd w:id="6"/>
    </w:p>
    <w:p w:rsidR="00C6520A" w:rsidRPr="008F1269" w:rsidRDefault="00C6520A" w:rsidP="00C6520A">
      <w:pPr>
        <w:adjustRightInd w:val="0"/>
        <w:snapToGrid w:val="0"/>
        <w:spacing w:before="60" w:line="312" w:lineRule="auto"/>
        <w:ind w:firstLine="567"/>
        <w:jc w:val="both"/>
        <w:rPr>
          <w:szCs w:val="28"/>
        </w:rPr>
      </w:pPr>
      <w:r w:rsidRPr="008F1269">
        <w:rPr>
          <w:szCs w:val="28"/>
        </w:rPr>
        <w:t>một phong trào đấu tranh chính trị giữa những người Plebe (bình dân) và Patricia (quý tộc) ở Cộng hòa La Mã cổ đại, kéo dài từ giữa thế kỷ VI đến năm 287 TCN.</w:t>
      </w:r>
    </w:p>
    <w:p w:rsidR="00C6520A" w:rsidRPr="008F1269" w:rsidRDefault="00C6520A" w:rsidP="00C6520A">
      <w:pPr>
        <w:adjustRightInd w:val="0"/>
        <w:snapToGrid w:val="0"/>
        <w:spacing w:before="60" w:line="312" w:lineRule="auto"/>
        <w:ind w:firstLine="567"/>
        <w:jc w:val="both"/>
        <w:rPr>
          <w:szCs w:val="28"/>
        </w:rPr>
      </w:pPr>
      <w:r w:rsidRPr="008F1269">
        <w:rPr>
          <w:szCs w:val="28"/>
        </w:rPr>
        <w:t>Cho đến khoảng thế kỷ VI TCN, nền kinh tế La Mã phát triển hơn, thu hút nhiều cư dân đến làm ăn, sinh sống. Tầng lớp này ngày càng đông, được gọi là những người bình dân Plebe, để phân biệt với những người gốc La Mã – quý tộc Patricia.</w:t>
      </w:r>
    </w:p>
    <w:p w:rsidR="00C6520A" w:rsidRPr="008F1269" w:rsidRDefault="00C6520A" w:rsidP="00C6520A">
      <w:pPr>
        <w:adjustRightInd w:val="0"/>
        <w:snapToGrid w:val="0"/>
        <w:spacing w:before="60" w:line="312" w:lineRule="auto"/>
        <w:ind w:firstLine="567"/>
        <w:jc w:val="both"/>
        <w:rPr>
          <w:szCs w:val="28"/>
        </w:rPr>
      </w:pPr>
      <w:r w:rsidRPr="008F1269">
        <w:rPr>
          <w:szCs w:val="28"/>
        </w:rPr>
        <w:t>Plebe là những người tự do, phải nộp thuế và thực hiện nghĩa vụ quân sự. Họ có vai trò quan trọng trong đời sống kinh tế, xã hội của người La Mã. Tuy nhiên, vì không thuộc một Curi nào (Curi là bào tộc, gồm 10 thị tộc), nên họ không được hưởng quyền lợi kinh tế và chính trị: Không được tham gia đại hội Curi (Đại hội nhân dân có quyền quyết định những vấn đề quan trọng của người La Mã), không được chia ruộng đất công, không được xét xử trong tòa án, không được quyền kết hôn với công dân La Mã. Vì vậy, người Plebe không ngừng đấu tranh để đòi quyền công dân La Mã.</w:t>
      </w:r>
    </w:p>
    <w:p w:rsidR="00C6520A" w:rsidRPr="008F1269" w:rsidRDefault="00C6520A" w:rsidP="00C6520A">
      <w:pPr>
        <w:adjustRightInd w:val="0"/>
        <w:snapToGrid w:val="0"/>
        <w:spacing w:before="60" w:line="312" w:lineRule="auto"/>
        <w:ind w:firstLine="567"/>
        <w:jc w:val="both"/>
        <w:rPr>
          <w:szCs w:val="28"/>
        </w:rPr>
      </w:pPr>
      <w:r w:rsidRPr="008F1269">
        <w:rPr>
          <w:szCs w:val="28"/>
        </w:rPr>
        <w:t xml:space="preserve">Đến giữa thế kỷ VI TCN, nhận thấy thế lực ngày càng tăng của người Plebe, </w:t>
      </w:r>
      <w:r>
        <w:rPr>
          <w:szCs w:val="28"/>
        </w:rPr>
        <w:t>Vua</w:t>
      </w:r>
      <w:r w:rsidRPr="008F1269">
        <w:rPr>
          <w:szCs w:val="28"/>
        </w:rPr>
        <w:t xml:space="preserve"> Servius Tulius đã tiến hành cải cách xã hội ở La Mã, dựa theo cải cách của Solon (Hy Lạp). Ông chia xã hội thành những đẳng cấp khác nhau dựa vào mức tài sản tư hữu chứ không theo huyết thống bộ lạc. Đại hội Centuri được thiết lập, thay thế cho Đại hội Curi. Ranh giới huyết thống trong quan hệ xã hội dần dần được giảm nhẹ, yếu tố địa lý khu vực được tăng cường, tạo điều kiện cho những người Plebe nhanh chóng hòa nhập vào khối cộng đồng công dân La Mã. Cuộc cải cách Tulius tuy chưa hoàn toàn xóa bỏ được sự cách biệt giữa quý tộc và bình dân, song vẫn được xem như là thắng lợi đầu tiên của giới bình dân. Sau cải cách, người Plebe tiếp tục đấu tranh giành quyền bình đẳng với người Patricia. </w:t>
      </w:r>
    </w:p>
    <w:p w:rsidR="00C6520A" w:rsidRPr="008F1269" w:rsidRDefault="00C6520A" w:rsidP="00C6520A">
      <w:pPr>
        <w:adjustRightInd w:val="0"/>
        <w:snapToGrid w:val="0"/>
        <w:spacing w:before="60" w:line="312" w:lineRule="auto"/>
        <w:ind w:firstLine="567"/>
        <w:jc w:val="both"/>
        <w:rPr>
          <w:szCs w:val="28"/>
        </w:rPr>
      </w:pPr>
      <w:r w:rsidRPr="008F1269">
        <w:rPr>
          <w:szCs w:val="28"/>
        </w:rPr>
        <w:t xml:space="preserve">Năm 494 TCN, những người Plebe rời khỏi La Mã và chiếm một vùng núi thiêng. Tại đây, họ thành lập một chính quyền mới, đứng đầu là các quan bảo dân (Tribun). Họ công khai phủ quyết các quyết định của Viện nguyên lão (vốn chỉ có quý tộc Patricia giàu có mới được tham gia). Viện nguyên lão buộc phải cử một phái đoàn đến thương lượng và nhượng bộ. Theo thỏa thuận, người Plebe được </w:t>
      </w:r>
      <w:r w:rsidRPr="008F1269">
        <w:rPr>
          <w:szCs w:val="28"/>
        </w:rPr>
        <w:lastRenderedPageBreak/>
        <w:t xml:space="preserve">quyền cử những quan bảo dân – lúc đầu là </w:t>
      </w:r>
      <w:r>
        <w:rPr>
          <w:szCs w:val="28"/>
        </w:rPr>
        <w:t>hai</w:t>
      </w:r>
      <w:r w:rsidRPr="008F1269">
        <w:rPr>
          <w:szCs w:val="28"/>
        </w:rPr>
        <w:t xml:space="preserve">, sau tăng lên </w:t>
      </w:r>
      <w:r>
        <w:rPr>
          <w:szCs w:val="28"/>
        </w:rPr>
        <w:t>bốn</w:t>
      </w:r>
      <w:r w:rsidRPr="008F1269">
        <w:rPr>
          <w:szCs w:val="28"/>
        </w:rPr>
        <w:t xml:space="preserve">, </w:t>
      </w:r>
      <w:r>
        <w:rPr>
          <w:szCs w:val="28"/>
        </w:rPr>
        <w:t>sáu</w:t>
      </w:r>
      <w:r w:rsidRPr="008F1269">
        <w:rPr>
          <w:szCs w:val="28"/>
        </w:rPr>
        <w:t xml:space="preserve"> và </w:t>
      </w:r>
      <w:r>
        <w:rPr>
          <w:szCs w:val="28"/>
        </w:rPr>
        <w:t>mười</w:t>
      </w:r>
      <w:r w:rsidRPr="008F1269">
        <w:rPr>
          <w:szCs w:val="28"/>
        </w:rPr>
        <w:t xml:space="preserve"> người </w:t>
      </w:r>
      <w:r>
        <w:rPr>
          <w:szCs w:val="28"/>
        </w:rPr>
        <w:t>–</w:t>
      </w:r>
      <w:r w:rsidRPr="008F1269">
        <w:rPr>
          <w:szCs w:val="28"/>
        </w:rPr>
        <w:t xml:space="preserve"> để tham gia vào chính quyền La Mã. Tư cách của quan bảo dân là thiêng liêng và bất khả xâm phạm. Họ có quyền tham dự và theo dõi các phiên họp của Viện nguyên lão để can thiệp trực tiếp hay phủ quyết những quyết nghị không có lợi cho người Plebe. Tuy nhiên, họ không được chỉ huy quân đội và những quyền lực của họ chỉ có hiệu lực trong phạm vi thành La Mã. Trong trường hợp Tổ quốc lâm nguy, khi một trong hai chấp chính quan được cử làm “độc tài” thì quyền hành của quan bảo dân tạm thời bị đình chỉ.</w:t>
      </w:r>
    </w:p>
    <w:p w:rsidR="00C6520A" w:rsidRPr="008F1269" w:rsidRDefault="00C6520A" w:rsidP="00C6520A">
      <w:pPr>
        <w:adjustRightInd w:val="0"/>
        <w:snapToGrid w:val="0"/>
        <w:spacing w:before="60" w:line="312" w:lineRule="auto"/>
        <w:ind w:firstLine="567"/>
        <w:jc w:val="both"/>
        <w:rPr>
          <w:szCs w:val="28"/>
        </w:rPr>
      </w:pPr>
      <w:r w:rsidRPr="008F1269">
        <w:rPr>
          <w:szCs w:val="28"/>
        </w:rPr>
        <w:t xml:space="preserve">Đầu thế kỷ V TCN, người Plebe đã tổ chức ra Đại hội bình dân của họ, tự coi là đại hội của toàn thể cư dân La Mã. Đại hội này ngày càng giữ vai trò quan trọng trong đời sống chính trị La Mã, bên cạnh </w:t>
      </w:r>
      <w:r>
        <w:rPr>
          <w:szCs w:val="28"/>
        </w:rPr>
        <w:t>Hội đồng Century</w:t>
      </w:r>
      <w:r w:rsidRPr="008F1269">
        <w:rPr>
          <w:szCs w:val="28"/>
        </w:rPr>
        <w:t xml:space="preserve"> của giới quý tộc.</w:t>
      </w:r>
    </w:p>
    <w:p w:rsidR="00C6520A" w:rsidRPr="008F1269" w:rsidRDefault="00C6520A" w:rsidP="00C6520A">
      <w:pPr>
        <w:adjustRightInd w:val="0"/>
        <w:snapToGrid w:val="0"/>
        <w:spacing w:before="60" w:line="312" w:lineRule="auto"/>
        <w:ind w:firstLine="567"/>
        <w:jc w:val="both"/>
        <w:rPr>
          <w:szCs w:val="28"/>
        </w:rPr>
      </w:pPr>
      <w:r w:rsidRPr="008F1269">
        <w:rPr>
          <w:szCs w:val="28"/>
        </w:rPr>
        <w:t xml:space="preserve">Năm 445 TCN, </w:t>
      </w:r>
      <w:r>
        <w:rPr>
          <w:szCs w:val="28"/>
        </w:rPr>
        <w:t>Đ</w:t>
      </w:r>
      <w:r w:rsidRPr="008F1269">
        <w:rPr>
          <w:szCs w:val="28"/>
        </w:rPr>
        <w:t xml:space="preserve">ạo luật </w:t>
      </w:r>
      <w:r w:rsidRPr="00935F2E">
        <w:rPr>
          <w:szCs w:val="28"/>
        </w:rPr>
        <w:t>Canuleius</w:t>
      </w:r>
      <w:r w:rsidRPr="008F1269">
        <w:rPr>
          <w:szCs w:val="28"/>
        </w:rPr>
        <w:t xml:space="preserve"> được ban hành, cho phép người Plebe được quyền tự do kết hôn với quý tộc Patrici. </w:t>
      </w:r>
    </w:p>
    <w:p w:rsidR="00C6520A" w:rsidRPr="008F1269" w:rsidRDefault="00C6520A" w:rsidP="00C6520A">
      <w:pPr>
        <w:adjustRightInd w:val="0"/>
        <w:snapToGrid w:val="0"/>
        <w:spacing w:before="60" w:line="312" w:lineRule="auto"/>
        <w:ind w:firstLine="567"/>
        <w:jc w:val="both"/>
        <w:rPr>
          <w:szCs w:val="28"/>
        </w:rPr>
      </w:pPr>
      <w:r w:rsidRPr="008F1269">
        <w:rPr>
          <w:szCs w:val="28"/>
        </w:rPr>
        <w:t>Trước áp lực của Đại hội bình dân, Viện nguyên lão đã phải cải tổ lại luật pháp. Một ủy ban dự thảo pháp luật mới gồm 10 người (5 người quý tộc, 5 người bình dân) được thành lập và làm việc khẩn trương trong 2 năm. Kết quả là một bộ luật mới, hoàn chỉnh đã được ban hành – bộ luật thành văn đầu tiên của lịch sử La Mã. Vì bộ luật ấy được khắc trên 12 tấm bảng đồng và đặt công khai ở các quảng trường cũng như ở các nơi công cộng, nên lịch sử thường gọi là Luật 12 bảng. Những điều khoản của bộ luật này được áp dụng chung cho tất cả công dân La Mã, không phân biệt người quý tộc hay bình dân. Bộ luật là kết quả thắng lợi của cuộc đấu tranh của người bình dân chống lại chế độ xét xử độc đoán, vô nguyên tắc của các tòa án quý tộc trước đây.</w:t>
      </w:r>
    </w:p>
    <w:p w:rsidR="00C6520A" w:rsidRPr="008F1269" w:rsidRDefault="00C6520A" w:rsidP="00C6520A">
      <w:pPr>
        <w:adjustRightInd w:val="0"/>
        <w:snapToGrid w:val="0"/>
        <w:spacing w:before="60" w:line="312" w:lineRule="auto"/>
        <w:ind w:firstLine="567"/>
        <w:jc w:val="both"/>
        <w:rPr>
          <w:szCs w:val="28"/>
        </w:rPr>
      </w:pPr>
      <w:r w:rsidRPr="008F1269">
        <w:rPr>
          <w:szCs w:val="28"/>
        </w:rPr>
        <w:t xml:space="preserve">Năm 367 TCN, </w:t>
      </w:r>
      <w:r>
        <w:rPr>
          <w:szCs w:val="28"/>
        </w:rPr>
        <w:t>Đ</w:t>
      </w:r>
      <w:r w:rsidRPr="008F1269">
        <w:rPr>
          <w:szCs w:val="28"/>
        </w:rPr>
        <w:t xml:space="preserve">ạo luật </w:t>
      </w:r>
      <w:r w:rsidRPr="005432B5">
        <w:rPr>
          <w:szCs w:val="28"/>
        </w:rPr>
        <w:t>Licinius</w:t>
      </w:r>
      <w:r w:rsidRPr="008F1269">
        <w:rPr>
          <w:szCs w:val="28"/>
        </w:rPr>
        <w:t xml:space="preserve"> được ban hành, theo đó bất cứ công dân La Mã nào cũng được quyền nhận ruộng đất công, không riêng giới quý tộc. Ngoài ra, hàng năm bầu hai quan chấp chính, trong đó phải có một người thuộc tầng lớp bình dân. Sau khi hoàn thành nhiệm kỳ chấp chính, vị quan này trở thành thành viên của Viện nguyên lão. Quyền nắm giữ Viện nguyên lão của giới quý tộc đã bị phá vỡ. </w:t>
      </w:r>
    </w:p>
    <w:p w:rsidR="00C6520A" w:rsidRPr="008F1269" w:rsidRDefault="00C6520A" w:rsidP="00C6520A">
      <w:pPr>
        <w:adjustRightInd w:val="0"/>
        <w:snapToGrid w:val="0"/>
        <w:spacing w:before="60" w:line="312" w:lineRule="auto"/>
        <w:ind w:firstLine="567"/>
        <w:jc w:val="both"/>
        <w:rPr>
          <w:szCs w:val="28"/>
        </w:rPr>
      </w:pPr>
      <w:r w:rsidRPr="008F1269">
        <w:rPr>
          <w:szCs w:val="28"/>
        </w:rPr>
        <w:t xml:space="preserve">Năm 320 TCN, chính quyền La Mã bãi bỏ chế độ nô lệ vì nợ, ban lệnh cấm không được biến người bình dân La Mã thành nô lệ. Năm 300 TCN, giới bình dân </w:t>
      </w:r>
      <w:r w:rsidRPr="008F1269">
        <w:rPr>
          <w:szCs w:val="28"/>
        </w:rPr>
        <w:lastRenderedPageBreak/>
        <w:t xml:space="preserve">có quyền tham gia ở tất cả mọi cấp của giáo hội, có nghĩa là ngang hàng với giới quý tộc về tín ngưỡng. </w:t>
      </w:r>
    </w:p>
    <w:p w:rsidR="00C6520A" w:rsidRPr="008F1269" w:rsidRDefault="00C6520A" w:rsidP="00C6520A">
      <w:pPr>
        <w:adjustRightInd w:val="0"/>
        <w:snapToGrid w:val="0"/>
        <w:spacing w:before="60" w:line="312" w:lineRule="auto"/>
        <w:ind w:firstLine="567"/>
        <w:jc w:val="both"/>
        <w:rPr>
          <w:szCs w:val="28"/>
        </w:rPr>
      </w:pPr>
      <w:r w:rsidRPr="008F1269">
        <w:rPr>
          <w:szCs w:val="28"/>
        </w:rPr>
        <w:t xml:space="preserve">Cuối cùng, vào năm 287 TCN, người Plebe đã đấu tranh để cho quyết nghị của Đại hội bình dân có hiệu lực như một đạo luật mà không cần có sự phê chuẩn của Viện nguyên lão. Đây được coi là năm kết thúc quá trình đấu tranh bền bỉ của người bình dân chống phân biệt đối xử. Bình dân hay quý tộc đều bình đẳng trước pháp luật và đều là công dân tự do La Mã. </w:t>
      </w:r>
    </w:p>
    <w:p w:rsidR="00C6520A" w:rsidRPr="008F1269" w:rsidRDefault="00C6520A" w:rsidP="00C6520A">
      <w:pPr>
        <w:adjustRightInd w:val="0"/>
        <w:snapToGrid w:val="0"/>
        <w:spacing w:before="60" w:line="312" w:lineRule="auto"/>
        <w:ind w:firstLine="567"/>
        <w:jc w:val="both"/>
        <w:rPr>
          <w:szCs w:val="28"/>
        </w:rPr>
      </w:pPr>
      <w:r w:rsidRPr="008F1269">
        <w:rPr>
          <w:szCs w:val="28"/>
        </w:rPr>
        <w:t xml:space="preserve">Như vậy, cuộc đấu tranh kéo dài gần ba thế kỷ giữa những người bình dân với giới quý tộc ở La Mã để giành địa vị chính trị và xã hội đã từng bước đạt được thắng lợi. </w:t>
      </w:r>
      <w:r>
        <w:rPr>
          <w:szCs w:val="28"/>
        </w:rPr>
        <w:t>F</w:t>
      </w:r>
      <w:r w:rsidRPr="008F1269">
        <w:rPr>
          <w:szCs w:val="28"/>
        </w:rPr>
        <w:t xml:space="preserve">. </w:t>
      </w:r>
      <w:r>
        <w:rPr>
          <w:szCs w:val="28"/>
        </w:rPr>
        <w:t>Engels</w:t>
      </w:r>
      <w:r w:rsidRPr="008F1269">
        <w:rPr>
          <w:szCs w:val="28"/>
        </w:rPr>
        <w:t xml:space="preserve"> cho rằng chính những cuộc đấu tranh này là nguyên nhân chủ yếu dẫn tới giải thể từng bước xã hội thị tộc, tạo nên xã hội có giai cấp La Mã cổ đại. Đồng thời, nó cũng tạo ra sự thống nhất trong cộng đồng công dân La Mã </w:t>
      </w:r>
      <w:r>
        <w:rPr>
          <w:szCs w:val="28"/>
        </w:rPr>
        <w:t>–</w:t>
      </w:r>
      <w:r w:rsidRPr="008F1269">
        <w:rPr>
          <w:szCs w:val="28"/>
        </w:rPr>
        <w:t xml:space="preserve"> cơ sở xã hội bền vững của thể chế cộng hòa. Nhờ có cuộc đấu tranh của người Plebe, Viện Nguyên lão của La Mã đã phải thông qua nhiều đạo luật, nhờ đó luật pháp ngày càng được hoàn thiện, nhất là luật dân sự và thể chế Cộng hòa La Mã đạt đến giai đoạn cực thịnh. Tuy nhiên, dần dần, trong chính giới bình dân cũng bị phân hóa mạnh. Một bộ phận nhỏ những người Plebe có tài sản, có địa vị, vươn lên hòa nhập với giới quý tộc cũ, tạo nên tầng lớp quý tộc mới, chi phối nền cộng hòa La Mã. </w:t>
      </w:r>
    </w:p>
    <w:p w:rsidR="00C6520A" w:rsidRPr="008F1269" w:rsidRDefault="00C6520A" w:rsidP="00C6520A">
      <w:pPr>
        <w:adjustRightInd w:val="0"/>
        <w:snapToGrid w:val="0"/>
        <w:spacing w:before="60" w:line="312" w:lineRule="auto"/>
        <w:ind w:firstLine="709"/>
        <w:jc w:val="right"/>
        <w:rPr>
          <w:b/>
          <w:sz w:val="20"/>
          <w:szCs w:val="28"/>
        </w:rPr>
      </w:pPr>
      <w:r w:rsidRPr="008F1269">
        <w:rPr>
          <w:b/>
          <w:sz w:val="20"/>
          <w:szCs w:val="28"/>
        </w:rPr>
        <w:t>PHẠM THỊ THANH HUYỀN</w:t>
      </w:r>
    </w:p>
    <w:p w:rsidR="00C6520A" w:rsidRPr="008F1269" w:rsidRDefault="00C6520A" w:rsidP="00C6520A">
      <w:pPr>
        <w:adjustRightInd w:val="0"/>
        <w:snapToGrid w:val="0"/>
        <w:spacing w:before="60" w:line="312" w:lineRule="auto"/>
        <w:jc w:val="both"/>
        <w:rPr>
          <w:b/>
          <w:sz w:val="24"/>
          <w:szCs w:val="28"/>
        </w:rPr>
      </w:pPr>
      <w:r w:rsidRPr="008F1269">
        <w:rPr>
          <w:b/>
          <w:sz w:val="24"/>
          <w:szCs w:val="28"/>
        </w:rPr>
        <w:t>Tài liệu tham khảo</w:t>
      </w:r>
    </w:p>
    <w:p w:rsidR="00C6520A" w:rsidRPr="008F1269" w:rsidRDefault="00C6520A" w:rsidP="00C6520A">
      <w:pPr>
        <w:tabs>
          <w:tab w:val="left" w:pos="1843"/>
        </w:tabs>
        <w:adjustRightInd w:val="0"/>
        <w:snapToGrid w:val="0"/>
        <w:spacing w:before="60" w:line="312" w:lineRule="auto"/>
        <w:jc w:val="both"/>
        <w:rPr>
          <w:sz w:val="24"/>
          <w:szCs w:val="28"/>
        </w:rPr>
      </w:pPr>
      <w:r w:rsidRPr="008F1269">
        <w:rPr>
          <w:sz w:val="24"/>
          <w:szCs w:val="28"/>
        </w:rPr>
        <w:t>1. Lương Ninh (</w:t>
      </w:r>
      <w:r>
        <w:rPr>
          <w:sz w:val="24"/>
          <w:szCs w:val="28"/>
        </w:rPr>
        <w:t>chủ biên</w:t>
      </w:r>
      <w:r w:rsidRPr="008F1269">
        <w:rPr>
          <w:sz w:val="24"/>
          <w:szCs w:val="28"/>
        </w:rPr>
        <w:t xml:space="preserve">), Đinh Ngọc Bảo, Đặng Quang Minh, Nguyễn Gia Phu, Nghiêm Đình Vỳ, </w:t>
      </w:r>
      <w:r w:rsidRPr="008F1269">
        <w:rPr>
          <w:i/>
          <w:iCs/>
          <w:sz w:val="24"/>
          <w:szCs w:val="28"/>
        </w:rPr>
        <w:t>Lịch sử thế giới cổ đại</w:t>
      </w:r>
      <w:r w:rsidRPr="008F1269">
        <w:rPr>
          <w:sz w:val="24"/>
          <w:szCs w:val="28"/>
        </w:rPr>
        <w:t>, Nxb. Giáo dục, 2000.</w:t>
      </w:r>
    </w:p>
    <w:p w:rsidR="00C6520A" w:rsidRPr="008F1269" w:rsidRDefault="00C6520A" w:rsidP="00C6520A">
      <w:pPr>
        <w:adjustRightInd w:val="0"/>
        <w:snapToGrid w:val="0"/>
        <w:spacing w:before="60" w:line="312" w:lineRule="auto"/>
        <w:jc w:val="both"/>
        <w:rPr>
          <w:sz w:val="24"/>
          <w:szCs w:val="28"/>
        </w:rPr>
      </w:pPr>
      <w:r w:rsidRPr="008F1269">
        <w:rPr>
          <w:sz w:val="24"/>
          <w:szCs w:val="28"/>
        </w:rPr>
        <w:t xml:space="preserve">2. Edward Mcnall Burns, </w:t>
      </w:r>
      <w:r w:rsidRPr="008F1269">
        <w:rPr>
          <w:i/>
          <w:iCs/>
          <w:sz w:val="24"/>
          <w:szCs w:val="28"/>
        </w:rPr>
        <w:t>Văn minh phương Tây – Lịch sử và văn hóa</w:t>
      </w:r>
      <w:r w:rsidRPr="008F1269">
        <w:rPr>
          <w:sz w:val="24"/>
          <w:szCs w:val="28"/>
        </w:rPr>
        <w:t>, Nxb. Từ điển Bách khoa, Hà Nội, 2008.</w:t>
      </w:r>
    </w:p>
    <w:p w:rsidR="00C6520A" w:rsidRPr="008F1269" w:rsidRDefault="00C6520A" w:rsidP="00C6520A">
      <w:pPr>
        <w:adjustRightInd w:val="0"/>
        <w:snapToGrid w:val="0"/>
        <w:spacing w:before="60" w:line="312" w:lineRule="auto"/>
        <w:jc w:val="both"/>
        <w:rPr>
          <w:sz w:val="24"/>
          <w:szCs w:val="28"/>
        </w:rPr>
      </w:pPr>
      <w:r w:rsidRPr="008F1269">
        <w:rPr>
          <w:sz w:val="24"/>
          <w:szCs w:val="28"/>
        </w:rPr>
        <w:t xml:space="preserve">3. Norman Davies, </w:t>
      </w:r>
      <w:r w:rsidRPr="008F1269">
        <w:rPr>
          <w:i/>
          <w:iCs/>
          <w:sz w:val="24"/>
          <w:szCs w:val="28"/>
        </w:rPr>
        <w:t>Lịch sử châu Âu</w:t>
      </w:r>
      <w:r w:rsidRPr="008F1269">
        <w:rPr>
          <w:sz w:val="24"/>
          <w:szCs w:val="28"/>
        </w:rPr>
        <w:t>, Nxb. Từ điển Bách khoa, Hà Nội, 2012.</w:t>
      </w:r>
    </w:p>
    <w:p w:rsidR="00C6520A" w:rsidRPr="008F1269" w:rsidRDefault="00C6520A" w:rsidP="00C6520A">
      <w:pPr>
        <w:adjustRightInd w:val="0"/>
        <w:snapToGrid w:val="0"/>
        <w:spacing w:before="60" w:line="312" w:lineRule="auto"/>
        <w:jc w:val="both"/>
        <w:rPr>
          <w:sz w:val="24"/>
          <w:szCs w:val="28"/>
        </w:rPr>
      </w:pPr>
      <w:r w:rsidRPr="008F1269">
        <w:rPr>
          <w:sz w:val="24"/>
          <w:szCs w:val="28"/>
        </w:rPr>
        <w:t xml:space="preserve">4. Robert Payne, </w:t>
      </w:r>
      <w:r w:rsidRPr="008F1269">
        <w:rPr>
          <w:i/>
          <w:iCs/>
          <w:sz w:val="24"/>
          <w:szCs w:val="28"/>
        </w:rPr>
        <w:t>Ancient Rome</w:t>
      </w:r>
      <w:r w:rsidRPr="008F1269">
        <w:rPr>
          <w:sz w:val="24"/>
          <w:szCs w:val="28"/>
        </w:rPr>
        <w:t xml:space="preserve">, Ibooks, New York, 2007 (Robert Payne, </w:t>
      </w:r>
      <w:r w:rsidRPr="008F1269">
        <w:rPr>
          <w:i/>
          <w:iCs/>
          <w:sz w:val="24"/>
          <w:szCs w:val="28"/>
        </w:rPr>
        <w:t>Rome cổ đại</w:t>
      </w:r>
      <w:r w:rsidRPr="008F1269">
        <w:rPr>
          <w:sz w:val="24"/>
          <w:szCs w:val="28"/>
        </w:rPr>
        <w:t>, Ibooks, New York, 2007)</w:t>
      </w:r>
      <w:r>
        <w:rPr>
          <w:sz w:val="24"/>
          <w:szCs w:val="28"/>
        </w:rPr>
        <w:t>.</w:t>
      </w:r>
    </w:p>
    <w:p w:rsidR="00C6520A" w:rsidRPr="008F1269" w:rsidRDefault="00C6520A" w:rsidP="00C6520A">
      <w:pPr>
        <w:adjustRightInd w:val="0"/>
        <w:snapToGrid w:val="0"/>
        <w:spacing w:before="60" w:line="312" w:lineRule="auto"/>
        <w:jc w:val="both"/>
        <w:rPr>
          <w:sz w:val="24"/>
          <w:szCs w:val="28"/>
        </w:rPr>
      </w:pPr>
      <w:r w:rsidRPr="008F1269">
        <w:rPr>
          <w:sz w:val="24"/>
          <w:szCs w:val="28"/>
        </w:rPr>
        <w:t xml:space="preserve">5. Edward Gibbon, </w:t>
      </w:r>
      <w:r w:rsidRPr="008F1269">
        <w:rPr>
          <w:i/>
          <w:iCs/>
          <w:sz w:val="24"/>
          <w:szCs w:val="28"/>
        </w:rPr>
        <w:t>The history of the decline and fall of the Roman Empire</w:t>
      </w:r>
      <w:r w:rsidRPr="008F1269">
        <w:rPr>
          <w:sz w:val="24"/>
          <w:szCs w:val="28"/>
        </w:rPr>
        <w:t xml:space="preserve"> (All 6 Volumes), E</w:t>
      </w:r>
      <w:r>
        <w:rPr>
          <w:sz w:val="24"/>
          <w:szCs w:val="28"/>
        </w:rPr>
        <w:t>–</w:t>
      </w:r>
      <w:r w:rsidRPr="008F1269">
        <w:rPr>
          <w:sz w:val="24"/>
          <w:szCs w:val="28"/>
        </w:rPr>
        <w:t>artnow, 2</w:t>
      </w:r>
      <w:r w:rsidRPr="008F1269">
        <w:rPr>
          <w:sz w:val="24"/>
          <w:szCs w:val="28"/>
          <w:vertAlign w:val="superscript"/>
        </w:rPr>
        <w:t>nd</w:t>
      </w:r>
      <w:r w:rsidRPr="008F1269">
        <w:rPr>
          <w:sz w:val="24"/>
          <w:szCs w:val="28"/>
        </w:rPr>
        <w:t xml:space="preserve"> edition, 2016 (Edward Gibbon, </w:t>
      </w:r>
      <w:r w:rsidRPr="008F1269">
        <w:rPr>
          <w:i/>
          <w:sz w:val="24"/>
          <w:szCs w:val="28"/>
        </w:rPr>
        <w:t>Lịch sử suy yếu và sụp đổ của Đế chế Rome (bộ 6 tập)</w:t>
      </w:r>
      <w:r w:rsidRPr="008F1269">
        <w:rPr>
          <w:sz w:val="24"/>
          <w:szCs w:val="28"/>
        </w:rPr>
        <w:t>, E</w:t>
      </w:r>
      <w:r>
        <w:rPr>
          <w:sz w:val="24"/>
          <w:szCs w:val="28"/>
        </w:rPr>
        <w:t>–</w:t>
      </w:r>
      <w:r w:rsidRPr="008F1269">
        <w:rPr>
          <w:sz w:val="24"/>
          <w:szCs w:val="28"/>
        </w:rPr>
        <w:t>artnow, tái bản lần thứ 2, 2016).</w:t>
      </w:r>
    </w:p>
    <w:p w:rsidR="00C6520A" w:rsidRPr="008F1269" w:rsidRDefault="00C6520A" w:rsidP="00C6520A">
      <w:pPr>
        <w:adjustRightInd w:val="0"/>
        <w:snapToGrid w:val="0"/>
        <w:spacing w:before="60" w:line="312" w:lineRule="auto"/>
        <w:ind w:firstLine="567"/>
        <w:rPr>
          <w:sz w:val="24"/>
          <w:szCs w:val="28"/>
        </w:rPr>
      </w:pPr>
      <w:r w:rsidRPr="008F1269">
        <w:rPr>
          <w:sz w:val="24"/>
          <w:szCs w:val="28"/>
        </w:rPr>
        <w:t xml:space="preserve"> </w:t>
      </w:r>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0A"/>
    <w:rsid w:val="00C6520A"/>
    <w:rsid w:val="00C84020"/>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E072D-BF69-0D4B-97B6-0DB901F6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20A"/>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C6520A"/>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6520A"/>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2025-12-04T20:17:00Z</dcterms:created>
  <dcterms:modified xsi:type="dcterms:W3CDTF">2025-12-04T20:18:00Z</dcterms:modified>
</cp:coreProperties>
</file>